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326F091B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631E0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1B38EE">
        <w:rPr>
          <w:bCs/>
          <w:noProof w:val="0"/>
          <w:sz w:val="24"/>
          <w:szCs w:val="24"/>
        </w:rPr>
        <w:t>2</w:t>
      </w:r>
      <w:r w:rsidR="00945784">
        <w:rPr>
          <w:bCs/>
          <w:noProof w:val="0"/>
          <w:sz w:val="24"/>
          <w:szCs w:val="24"/>
        </w:rPr>
        <w:t>01030</w:t>
      </w:r>
    </w:p>
    <w:p w14:paraId="30E02940" w14:textId="5B61BCBB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5631E0">
        <w:rPr>
          <w:bCs/>
          <w:noProof w:val="0"/>
          <w:sz w:val="24"/>
          <w:szCs w:val="24"/>
        </w:rPr>
        <w:t>February 21</w:t>
      </w:r>
      <w:r w:rsidR="005631E0" w:rsidRPr="005631E0">
        <w:rPr>
          <w:bCs/>
          <w:noProof w:val="0"/>
          <w:sz w:val="24"/>
          <w:szCs w:val="24"/>
          <w:vertAlign w:val="superscript"/>
        </w:rPr>
        <w:t>st</w:t>
      </w:r>
      <w:r w:rsidR="005631E0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631E0">
        <w:rPr>
          <w:bCs/>
          <w:noProof w:val="0"/>
          <w:sz w:val="24"/>
          <w:szCs w:val="24"/>
        </w:rPr>
        <w:t>March 3</w:t>
      </w:r>
      <w:r w:rsidR="005631E0" w:rsidRPr="005631E0">
        <w:rPr>
          <w:bCs/>
          <w:noProof w:val="0"/>
          <w:sz w:val="24"/>
          <w:szCs w:val="24"/>
          <w:vertAlign w:val="superscript"/>
        </w:rPr>
        <w:t>rd</w:t>
      </w:r>
      <w:r w:rsidRPr="002778BD">
        <w:rPr>
          <w:bCs/>
          <w:noProof w:val="0"/>
          <w:sz w:val="24"/>
          <w:szCs w:val="24"/>
        </w:rPr>
        <w:t>,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104DFAF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022EA">
        <w:rPr>
          <w:rFonts w:cs="Arial"/>
          <w:b/>
          <w:bCs/>
          <w:sz w:val="24"/>
          <w:szCs w:val="24"/>
        </w:rPr>
        <w:t>7</w:t>
      </w:r>
      <w:r w:rsidR="001F201D">
        <w:rPr>
          <w:rFonts w:cs="Arial"/>
          <w:b/>
          <w:bCs/>
          <w:sz w:val="24"/>
          <w:szCs w:val="24"/>
        </w:rPr>
        <w:t>.</w:t>
      </w:r>
      <w:r w:rsidR="003022EA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44048A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022EA">
        <w:rPr>
          <w:rFonts w:ascii="Arial" w:hAnsi="Arial" w:cs="Arial"/>
          <w:b/>
          <w:bCs/>
          <w:sz w:val="24"/>
        </w:rPr>
        <w:t xml:space="preserve">TPC accumulation, interpretation of </w:t>
      </w:r>
      <w:r w:rsidR="003022EA" w:rsidRPr="003022EA">
        <w:rPr>
          <w:rFonts w:ascii="Arial" w:hAnsi="Arial" w:cs="Arial"/>
          <w:b/>
          <w:bCs/>
          <w:i/>
          <w:iCs/>
          <w:sz w:val="24"/>
        </w:rPr>
        <w:t>K</w:t>
      </w:r>
      <w:r w:rsidR="003022EA" w:rsidRPr="003022EA">
        <w:rPr>
          <w:rFonts w:ascii="Arial" w:hAnsi="Arial" w:cs="Arial"/>
          <w:b/>
          <w:bCs/>
          <w:i/>
          <w:iCs/>
          <w:sz w:val="24"/>
          <w:vertAlign w:val="subscript"/>
        </w:rPr>
        <w:t>PUSCH</w:t>
      </w:r>
      <w:r w:rsidR="003022EA" w:rsidRPr="003022EA">
        <w:rPr>
          <w:rFonts w:ascii="Arial" w:hAnsi="Arial" w:cs="Arial"/>
          <w:b/>
          <w:bCs/>
          <w:i/>
          <w:iCs/>
          <w:sz w:val="24"/>
        </w:rPr>
        <w:t>(i)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469B8EA" w14:textId="6BA02F33" w:rsidR="00370C5A" w:rsidRPr="00F578F9" w:rsidRDefault="00F578F9" w:rsidP="00056BDE">
      <w:r>
        <w:t xml:space="preserve">In RAN1#107bis discussions for Coverage Enhancements, two interpretations for the </w:t>
      </w:r>
      <w:r>
        <w:rPr>
          <w:i/>
          <w:iCs/>
        </w:rPr>
        <w:t>K</w:t>
      </w:r>
      <w:r>
        <w:rPr>
          <w:i/>
          <w:iCs/>
          <w:vertAlign w:val="subscript"/>
        </w:rPr>
        <w:t>PUSCH</w:t>
      </w:r>
      <w:r>
        <w:rPr>
          <w:i/>
          <w:iCs/>
        </w:rPr>
        <w:t xml:space="preserve">(i) </w:t>
      </w:r>
      <w:r>
        <w:t>for PUSCH slot aggregation were identified</w:t>
      </w:r>
      <w:r w:rsidR="0052360C">
        <w:t xml:space="preserve"> [2]</w:t>
      </w:r>
      <w:r>
        <w:t xml:space="preserve">. This Rel-15 related ambiguity is causing a blocking situation in Rel-17 Coverage Enhancements WI completion. </w:t>
      </w:r>
      <w:proofErr w:type="gramStart"/>
      <w:r>
        <w:t>Thus</w:t>
      </w:r>
      <w:proofErr w:type="gramEnd"/>
      <w:r>
        <w:t xml:space="preserve"> it is important, not just for Rel-15 clarity, but also for Rel-17 work completion to resolve this question in a timely manner.</w:t>
      </w:r>
    </w:p>
    <w:p w14:paraId="71230483" w14:textId="50BBC072" w:rsidR="00305297" w:rsidRDefault="00F578F9" w:rsidP="00A23DCA">
      <w:pPr>
        <w:pStyle w:val="Heading1"/>
      </w:pPr>
      <w:bookmarkStart w:id="1" w:name="_Hlk510705081"/>
      <w:r>
        <w:t xml:space="preserve">Two </w:t>
      </w:r>
      <w:r w:rsidRPr="00F578F9">
        <w:t>interpretation</w:t>
      </w:r>
      <w:r>
        <w:t>s</w:t>
      </w:r>
      <w:r w:rsidRPr="00F578F9">
        <w:t xml:space="preserve"> of </w:t>
      </w:r>
      <w:r w:rsidRPr="00F578F9">
        <w:rPr>
          <w:i/>
          <w:iCs/>
        </w:rPr>
        <w:t>K</w:t>
      </w:r>
      <w:r w:rsidRPr="00F578F9">
        <w:rPr>
          <w:i/>
          <w:iCs/>
          <w:vertAlign w:val="subscript"/>
        </w:rPr>
        <w:t>PUSCH</w:t>
      </w:r>
      <w:r w:rsidRPr="00F578F9">
        <w:rPr>
          <w:i/>
          <w:iCs/>
        </w:rPr>
        <w:t>(i)</w:t>
      </w:r>
    </w:p>
    <w:p w14:paraId="1E48DAAB" w14:textId="21598EEC" w:rsidR="00EA7E2D" w:rsidRDefault="0052360C" w:rsidP="00EA7E2D">
      <w:r>
        <w:t xml:space="preserve">The TS38.213 definition for </w:t>
      </w:r>
      <w:r>
        <w:rPr>
          <w:i/>
          <w:iCs/>
        </w:rPr>
        <w:t>K</w:t>
      </w:r>
      <w:r>
        <w:rPr>
          <w:i/>
          <w:iCs/>
          <w:vertAlign w:val="subscript"/>
        </w:rPr>
        <w:t>PUSCH</w:t>
      </w:r>
      <w:r>
        <w:rPr>
          <w:i/>
          <w:iCs/>
        </w:rPr>
        <w:t xml:space="preserve">(i) </w:t>
      </w:r>
      <w:r>
        <w:t>for a PUSCH scheduled with a DCI is as follows [1, Subclause 7.1.1]: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2360C" w14:paraId="37D91446" w14:textId="77777777" w:rsidTr="009D66B6">
        <w:tc>
          <w:tcPr>
            <w:tcW w:w="9918" w:type="dxa"/>
          </w:tcPr>
          <w:p w14:paraId="68E106EE" w14:textId="77777777" w:rsidR="009D66B6" w:rsidRPr="00B916EC" w:rsidRDefault="009D66B6" w:rsidP="009D66B6">
            <w:r w:rsidRPr="00B916EC">
              <w:t xml:space="preserve">If a UE transmits a PUSCH on </w:t>
            </w:r>
            <w:r>
              <w:t xml:space="preserve">active UL BWP </w:t>
            </w:r>
            <w:r w:rsidRPr="00CA6089">
              <w:rPr>
                <w:iCs/>
                <w:position w:val="-6"/>
              </w:rPr>
              <w:object w:dxaOrig="180" w:dyaOrig="260" w14:anchorId="4FEBE1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21" type="#_x0000_t75" style="width:7.5pt;height:14.4pt" o:ole="">
                  <v:imagedata r:id="rId13" o:title=""/>
                </v:shape>
                <o:OLEObject Type="Embed" ProgID="Equation.3" ShapeID="_x0000_i1321" DrawAspect="Content" ObjectID="_1706367867" r:id="rId14"/>
              </w:object>
            </w:r>
            <w:r>
              <w:rPr>
                <w:iCs/>
              </w:rPr>
              <w:t xml:space="preserve"> of </w:t>
            </w:r>
            <w:r w:rsidRPr="00B916EC">
              <w:t xml:space="preserve">carrier </w:t>
            </w:r>
            <w:r w:rsidRPr="00B916EC">
              <w:rPr>
                <w:iCs/>
                <w:position w:val="-10"/>
              </w:rPr>
              <w:object w:dxaOrig="220" w:dyaOrig="300" w14:anchorId="2725FD54">
                <v:shape id="_x0000_i1322" type="#_x0000_t75" style="width:14.4pt;height:14.4pt" o:ole="">
                  <v:imagedata r:id="rId15" o:title=""/>
                </v:shape>
                <o:OLEObject Type="Embed" ProgID="Equation.3" ShapeID="_x0000_i1322" DrawAspect="Content" ObjectID="_1706367868" r:id="rId16"/>
              </w:object>
            </w:r>
            <w:r w:rsidRPr="00B916EC">
              <w:rPr>
                <w:iCs/>
              </w:rPr>
              <w:t xml:space="preserve"> of </w:t>
            </w:r>
            <w:r w:rsidRPr="00B916EC">
              <w:t xml:space="preserve">serving cell </w:t>
            </w:r>
            <w:r w:rsidRPr="00B916EC">
              <w:rPr>
                <w:iCs/>
                <w:position w:val="-6"/>
              </w:rPr>
              <w:object w:dxaOrig="160" w:dyaOrig="200" w14:anchorId="7774432C">
                <v:shape id="_x0000_i1323" type="#_x0000_t75" style="width:10pt;height:12.5pt" o:ole="">
                  <v:imagedata r:id="rId17" o:title=""/>
                </v:shape>
                <o:OLEObject Type="Embed" ProgID="Equation.3" ShapeID="_x0000_i1323" DrawAspect="Content" ObjectID="_1706367869" r:id="rId18"/>
              </w:object>
            </w:r>
            <w:r w:rsidRPr="00B916EC">
              <w:rPr>
                <w:iCs/>
              </w:rPr>
              <w:t xml:space="preserve"> using </w:t>
            </w:r>
            <w:r w:rsidRPr="00B916EC">
              <w:t xml:space="preserve">parameter set configuration </w:t>
            </w:r>
            <w:r w:rsidRPr="00B916EC">
              <w:rPr>
                <w:iCs/>
              </w:rPr>
              <w:t xml:space="preserve">with index </w:t>
            </w:r>
            <w:r w:rsidRPr="00B916EC">
              <w:rPr>
                <w:iCs/>
                <w:position w:val="-10"/>
              </w:rPr>
              <w:object w:dxaOrig="180" w:dyaOrig="279" w14:anchorId="4241F003">
                <v:shape id="_x0000_i1324" type="#_x0000_t75" style="width:7.5pt;height:14.4pt" o:ole="">
                  <v:imagedata r:id="rId19" o:title=""/>
                </v:shape>
                <o:OLEObject Type="Embed" ProgID="Equation.3" ShapeID="_x0000_i1324" DrawAspect="Content" ObjectID="_1706367870" r:id="rId20"/>
              </w:object>
            </w:r>
            <w:r w:rsidRPr="00B916EC">
              <w:rPr>
                <w:iCs/>
              </w:rPr>
              <w:t xml:space="preserve"> and </w:t>
            </w:r>
            <w:r w:rsidRPr="00B916EC">
              <w:t xml:space="preserve">PUSCH power control adjustment state with index </w:t>
            </w:r>
            <w:r w:rsidRPr="00B916EC">
              <w:rPr>
                <w:iCs/>
                <w:position w:val="-6"/>
              </w:rPr>
              <w:object w:dxaOrig="139" w:dyaOrig="240" w14:anchorId="76A174D5">
                <v:shape id="_x0000_i1325" type="#_x0000_t75" style="width:7.5pt;height:14.4pt" o:ole="">
                  <v:imagedata r:id="rId21" o:title=""/>
                </v:shape>
                <o:OLEObject Type="Embed" ProgID="Equation.3" ShapeID="_x0000_i1325" DrawAspect="Content" ObjectID="_1706367871" r:id="rId22"/>
              </w:object>
            </w:r>
            <w:r w:rsidRPr="00B916EC">
              <w:t xml:space="preserve">, </w:t>
            </w:r>
            <w:r w:rsidRPr="009D66B6">
              <w:rPr>
                <w:highlight w:val="yellow"/>
              </w:rPr>
              <w:t>the UE determines the PUSCH transmission power</w:t>
            </w:r>
            <w:r w:rsidRPr="00B916EC">
              <w:t xml:space="preserve"> </w:t>
            </w:r>
            <w:r w:rsidRPr="00B916EC">
              <w:rPr>
                <w:iCs/>
                <w:position w:val="-12"/>
              </w:rPr>
              <w:object w:dxaOrig="1660" w:dyaOrig="320" w14:anchorId="2B0C161A">
                <v:shape id="_x0000_i1326" type="#_x0000_t75" style="width:86.4pt;height:16.3pt" o:ole="">
                  <v:imagedata r:id="rId23" o:title=""/>
                </v:shape>
                <o:OLEObject Type="Embed" ProgID="Equation.3" ShapeID="_x0000_i1326" DrawAspect="Content" ObjectID="_1706367872" r:id="rId24"/>
              </w:object>
            </w:r>
            <w:r w:rsidRPr="00B916EC">
              <w:t xml:space="preserve"> </w:t>
            </w:r>
            <w:r w:rsidRPr="009D66B6">
              <w:rPr>
                <w:highlight w:val="yellow"/>
              </w:rPr>
              <w:t xml:space="preserve">in PUSCH transmission occasion </w:t>
            </w:r>
            <w:r w:rsidRPr="009D66B6">
              <w:rPr>
                <w:iCs/>
                <w:position w:val="-6"/>
                <w:highlight w:val="yellow"/>
              </w:rPr>
              <w:object w:dxaOrig="139" w:dyaOrig="240" w14:anchorId="09B8ADB4">
                <v:shape id="_x0000_i1327" type="#_x0000_t75" style="width:7.5pt;height:14.4pt" o:ole="">
                  <v:imagedata r:id="rId25" o:title=""/>
                </v:shape>
                <o:OLEObject Type="Embed" ProgID="Equation.3" ShapeID="_x0000_i1327" DrawAspect="Content" ObjectID="_1706367873" r:id="rId26"/>
              </w:object>
            </w:r>
            <w:r w:rsidRPr="009D66B6">
              <w:rPr>
                <w:iCs/>
                <w:highlight w:val="yellow"/>
              </w:rPr>
              <w:t xml:space="preserve"> </w:t>
            </w:r>
            <w:r w:rsidRPr="009D66B6">
              <w:rPr>
                <w:highlight w:val="yellow"/>
              </w:rPr>
              <w:t>as</w:t>
            </w:r>
          </w:p>
          <w:p w14:paraId="1BD3CBDA" w14:textId="77777777" w:rsidR="009D66B6" w:rsidRPr="00B916EC" w:rsidRDefault="009D66B6" w:rsidP="009D66B6">
            <w:pPr>
              <w:pStyle w:val="EQ"/>
              <w:jc w:val="center"/>
            </w:pPr>
            <w:r w:rsidRPr="00B916EC">
              <w:rPr>
                <w:position w:val="-32"/>
              </w:rPr>
              <w:object w:dxaOrig="9360" w:dyaOrig="740" w14:anchorId="0CEC8618">
                <v:shape id="_x0000_i1328" type="#_x0000_t75" style="width:461.45pt;height:36.95pt" o:ole="">
                  <v:imagedata r:id="rId27" o:title=""/>
                </v:shape>
                <o:OLEObject Type="Embed" ProgID="Equation.3" ShapeID="_x0000_i1328" DrawAspect="Content" ObjectID="_1706367874" r:id="rId28"/>
              </w:object>
            </w:r>
            <w:r w:rsidRPr="00B916EC">
              <w:t xml:space="preserve"> [dBm]</w:t>
            </w:r>
          </w:p>
          <w:p w14:paraId="2740398C" w14:textId="77777777" w:rsidR="009D66B6" w:rsidRPr="00B916EC" w:rsidRDefault="009D66B6" w:rsidP="009D66B6">
            <w:proofErr w:type="gramStart"/>
            <w:r w:rsidRPr="00B916EC">
              <w:t>where</w:t>
            </w:r>
            <w:proofErr w:type="gramEnd"/>
            <w:r w:rsidRPr="00B916EC">
              <w:t>,</w:t>
            </w:r>
          </w:p>
          <w:p w14:paraId="18585768" w14:textId="77777777" w:rsidR="009D66B6" w:rsidRDefault="009D66B6" w:rsidP="009D66B6">
            <w:pPr>
              <w:ind w:left="568" w:hanging="284"/>
            </w:pPr>
            <w:r w:rsidRPr="009D66B6">
              <w:rPr>
                <w:highlight w:val="yellow"/>
              </w:rPr>
              <w:t>[…]</w:t>
            </w:r>
          </w:p>
          <w:p w14:paraId="7B700CCA" w14:textId="3349AA6F" w:rsidR="009D66B6" w:rsidRDefault="009D66B6" w:rsidP="009D66B6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For the </w:t>
            </w:r>
            <w:r w:rsidRPr="00B916EC">
              <w:t>PUSCH power control adjustment state</w:t>
            </w:r>
            <w:r>
              <w:rPr>
                <w:lang w:val="en-US"/>
              </w:rPr>
              <w:t xml:space="preserve"> </w:t>
            </w:r>
            <w:r w:rsidRPr="00FA0CBB">
              <w:rPr>
                <w:position w:val="-12"/>
              </w:rPr>
              <w:object w:dxaOrig="800" w:dyaOrig="320" w14:anchorId="221688D4">
                <v:shape id="_x0000_i1310" type="#_x0000_t75" style="width:44.45pt;height:15.05pt" o:ole="">
                  <v:imagedata r:id="rId29" o:title=""/>
                </v:shape>
                <o:OLEObject Type="Embed" ProgID="Equation.3" ShapeID="_x0000_i1310" DrawAspect="Content" ObjectID="_1706367875" r:id="rId30"/>
              </w:object>
            </w:r>
            <w:r w:rsidRPr="00FA0CBB">
              <w:rPr>
                <w:lang w:val="en-US"/>
              </w:rPr>
              <w:t xml:space="preserve"> </w:t>
            </w:r>
            <w:r w:rsidRPr="00FA0CBB">
              <w:t xml:space="preserve">for </w:t>
            </w:r>
            <w:r w:rsidRPr="00FA0CBB">
              <w:rPr>
                <w:lang w:val="en-US"/>
              </w:rPr>
              <w:t xml:space="preserve">active UL BWP </w:t>
            </w:r>
            <w:r w:rsidRPr="00FA0CBB">
              <w:rPr>
                <w:iCs/>
                <w:position w:val="-6"/>
              </w:rPr>
              <w:object w:dxaOrig="180" w:dyaOrig="260" w14:anchorId="558BFBC4">
                <v:shape id="_x0000_i1311" type="#_x0000_t75" style="width:7.5pt;height:14.4pt" o:ole="">
                  <v:imagedata r:id="rId31" o:title=""/>
                </v:shape>
                <o:OLEObject Type="Embed" ProgID="Equation.3" ShapeID="_x0000_i1311" DrawAspect="Content" ObjectID="_1706367876" r:id="rId32"/>
              </w:object>
            </w:r>
            <w:r w:rsidRPr="00FA0CBB">
              <w:rPr>
                <w:iCs/>
                <w:lang w:val="en-US"/>
              </w:rPr>
              <w:t xml:space="preserve"> </w:t>
            </w:r>
            <w:r w:rsidRPr="00FA0CBB">
              <w:rPr>
                <w:lang w:val="en-US"/>
              </w:rPr>
              <w:t xml:space="preserve">of carrier </w:t>
            </w:r>
            <w:r w:rsidRPr="00B916EC">
              <w:rPr>
                <w:iCs/>
                <w:position w:val="-10"/>
              </w:rPr>
              <w:object w:dxaOrig="220" w:dyaOrig="300" w14:anchorId="7646645E">
                <v:shape id="_x0000_i1312" type="#_x0000_t75" style="width:14.4pt;height:14.4pt" o:ole="">
                  <v:imagedata r:id="rId15" o:title=""/>
                </v:shape>
                <o:OLEObject Type="Embed" ProgID="Equation.3" ShapeID="_x0000_i1312" DrawAspect="Content" ObjectID="_1706367877" r:id="rId33"/>
              </w:object>
            </w:r>
            <w:r w:rsidRPr="00FA0CBB">
              <w:rPr>
                <w:iCs/>
                <w:lang w:val="en-US"/>
              </w:rPr>
              <w:t xml:space="preserve"> of</w:t>
            </w:r>
            <w:r w:rsidRPr="00FA0CBB">
              <w:t xml:space="preserve"> serving cell </w:t>
            </w:r>
            <w:r w:rsidRPr="00B916EC">
              <w:rPr>
                <w:iCs/>
                <w:position w:val="-6"/>
              </w:rPr>
              <w:object w:dxaOrig="160" w:dyaOrig="200" w14:anchorId="05856602">
                <v:shape id="_x0000_i1313" type="#_x0000_t75" style="width:10pt;height:12.5pt" o:ole="">
                  <v:imagedata r:id="rId17" o:title=""/>
                </v:shape>
                <o:OLEObject Type="Embed" ProgID="Equation.3" ShapeID="_x0000_i1313" DrawAspect="Content" ObjectID="_1706367878" r:id="rId34"/>
              </w:object>
            </w:r>
            <w:r>
              <w:rPr>
                <w:lang w:val="en-US"/>
              </w:rPr>
              <w:t xml:space="preserve"> </w:t>
            </w:r>
            <w:r w:rsidRPr="009D66B6">
              <w:rPr>
                <w:highlight w:val="yellow"/>
                <w:lang w:val="en-US"/>
              </w:rPr>
              <w:t xml:space="preserve">in PUSCH transmission occasion </w:t>
            </w:r>
            <w:r w:rsidRPr="009D66B6">
              <w:rPr>
                <w:position w:val="-6"/>
                <w:highlight w:val="yellow"/>
              </w:rPr>
              <w:object w:dxaOrig="139" w:dyaOrig="240" w14:anchorId="69A717F1">
                <v:shape id="_x0000_i1314" type="#_x0000_t75" style="width:7.5pt;height:14.4pt" o:ole="">
                  <v:imagedata r:id="rId35" o:title=""/>
                </v:shape>
                <o:OLEObject Type="Embed" ProgID="Equation.3" ShapeID="_x0000_i1314" DrawAspect="Content" ObjectID="_1706367879" r:id="rId36"/>
              </w:object>
            </w:r>
          </w:p>
          <w:p w14:paraId="7BD23E93" w14:textId="77777777" w:rsidR="009D66B6" w:rsidRDefault="009D66B6" w:rsidP="009D66B6">
            <w:pPr>
              <w:ind w:left="852" w:hanging="284"/>
            </w:pPr>
            <w:r w:rsidRPr="009D66B6">
              <w:rPr>
                <w:highlight w:val="yellow"/>
              </w:rPr>
              <w:t>[…]</w:t>
            </w:r>
          </w:p>
          <w:p w14:paraId="402127F3" w14:textId="77777777" w:rsidR="009D66B6" w:rsidRDefault="009D66B6" w:rsidP="009D66B6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</w:r>
            <w:r w:rsidRPr="008E3463">
              <w:rPr>
                <w:position w:val="-24"/>
              </w:rPr>
              <w:object w:dxaOrig="3879" w:dyaOrig="600" w14:anchorId="5D68D283">
                <v:shape id="_x0000_i1315" type="#_x0000_t75" style="width:194.1pt;height:30.05pt" o:ole="">
                  <v:imagedata r:id="rId37" o:title=""/>
                </v:shape>
                <o:OLEObject Type="Embed" ProgID="Equation.3" ShapeID="_x0000_i1315" DrawAspect="Content" ObjectID="_1706367880" r:id="rId38"/>
              </w:object>
            </w:r>
            <w:r w:rsidRPr="00B916EC">
              <w:t xml:space="preserve"> </w:t>
            </w:r>
            <w:r w:rsidRPr="00B916EC">
              <w:rPr>
                <w:lang w:val="en-US"/>
              </w:rPr>
              <w:t>is t</w:t>
            </w:r>
            <w:r w:rsidRPr="00B916EC">
              <w:t xml:space="preserve">he PUSCH power control adjustment state </w:t>
            </w:r>
            <w:r w:rsidRPr="00D77E65">
              <w:rPr>
                <w:position w:val="-6"/>
              </w:rPr>
              <w:object w:dxaOrig="139" w:dyaOrig="240" w14:anchorId="1960C43C">
                <v:shape id="_x0000_i1316" type="#_x0000_t75" style="width:7.5pt;height:14.4pt" o:ole="">
                  <v:imagedata r:id="rId39" o:title=""/>
                </v:shape>
                <o:OLEObject Type="Embed" ProgID="Equation.3" ShapeID="_x0000_i1316" DrawAspect="Content" ObjectID="_1706367881" r:id="rId40"/>
              </w:object>
            </w:r>
            <w:r>
              <w:rPr>
                <w:lang w:val="en-US"/>
              </w:rPr>
              <w:t xml:space="preserve"> </w:t>
            </w:r>
            <w:r w:rsidRPr="00B916EC">
              <w:t xml:space="preserve">for </w:t>
            </w:r>
            <w:r>
              <w:rPr>
                <w:lang w:val="en-US"/>
              </w:rPr>
              <w:t xml:space="preserve">active UL BWP </w:t>
            </w:r>
            <w:r w:rsidRPr="00425377">
              <w:rPr>
                <w:iCs/>
                <w:position w:val="-6"/>
              </w:rPr>
              <w:object w:dxaOrig="180" w:dyaOrig="260" w14:anchorId="3054EC2B">
                <v:shape id="_x0000_i1317" type="#_x0000_t75" style="width:7.5pt;height:14.4pt" o:ole="">
                  <v:imagedata r:id="rId31" o:title=""/>
                </v:shape>
                <o:OLEObject Type="Embed" ProgID="Equation.3" ShapeID="_x0000_i1317" DrawAspect="Content" ObjectID="_1706367882" r:id="rId41"/>
              </w:objec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B916EC">
              <w:rPr>
                <w:lang w:val="en-US"/>
              </w:rPr>
              <w:t xml:space="preserve"> carrier </w:t>
            </w:r>
            <w:r w:rsidRPr="00B916EC">
              <w:rPr>
                <w:iCs/>
                <w:position w:val="-10"/>
              </w:rPr>
              <w:object w:dxaOrig="220" w:dyaOrig="300" w14:anchorId="44F4F434">
                <v:shape id="_x0000_i1318" type="#_x0000_t75" style="width:14.4pt;height:14.4pt" o:ole="">
                  <v:imagedata r:id="rId15" o:title=""/>
                </v:shape>
                <o:OLEObject Type="Embed" ProgID="Equation.3" ShapeID="_x0000_i1318" DrawAspect="Content" ObjectID="_1706367883" r:id="rId42"/>
              </w:object>
            </w:r>
            <w:r w:rsidRPr="00B916EC">
              <w:rPr>
                <w:iCs/>
                <w:lang w:val="en-US"/>
              </w:rPr>
              <w:t xml:space="preserve"> of</w:t>
            </w:r>
            <w:r w:rsidRPr="00B916EC">
              <w:t xml:space="preserve"> serving cell </w:t>
            </w:r>
            <w:r w:rsidRPr="00B916EC">
              <w:rPr>
                <w:iCs/>
                <w:position w:val="-6"/>
              </w:rPr>
              <w:object w:dxaOrig="160" w:dyaOrig="200" w14:anchorId="04494CC8">
                <v:shape id="_x0000_i1319" type="#_x0000_t75" style="width:10pt;height:12.5pt" o:ole="">
                  <v:imagedata r:id="rId17" o:title=""/>
                </v:shape>
                <o:OLEObject Type="Embed" ProgID="Equation.3" ShapeID="_x0000_i1319" DrawAspect="Content" ObjectID="_1706367884" r:id="rId43"/>
              </w:object>
            </w:r>
            <w:r w:rsidRPr="00B916EC">
              <w:rPr>
                <w:lang w:val="en-US"/>
              </w:rPr>
              <w:t xml:space="preserve"> and PUSCH transmission </w:t>
            </w:r>
            <w:r w:rsidRPr="00473A9C">
              <w:rPr>
                <w:lang w:val="en-US"/>
              </w:rPr>
              <w:t>occasion</w:t>
            </w:r>
            <w:r w:rsidRPr="00B916EC">
              <w:rPr>
                <w:lang w:val="en-US"/>
              </w:rPr>
              <w:t xml:space="preserve"> </w:t>
            </w:r>
            <w:r w:rsidRPr="00B916EC">
              <w:rPr>
                <w:position w:val="-6"/>
              </w:rPr>
              <w:object w:dxaOrig="139" w:dyaOrig="240" w14:anchorId="0B1338A0">
                <v:shape id="_x0000_i1320" type="#_x0000_t75" style="width:7.5pt;height:14.4pt" o:ole="">
                  <v:imagedata r:id="rId35" o:title=""/>
                </v:shape>
                <o:OLEObject Type="Embed" ProgID="Equation.3" ShapeID="_x0000_i1320" DrawAspect="Content" ObjectID="_1706367885" r:id="rId44"/>
              </w:object>
            </w:r>
            <w:r w:rsidRPr="00B916EC">
              <w:t xml:space="preserve"> if </w:t>
            </w:r>
            <w:r>
              <w:t>the</w:t>
            </w:r>
            <w:r>
              <w:rPr>
                <w:lang w:val="en-US"/>
              </w:rPr>
              <w:t xml:space="preserve"> UE is not provided</w:t>
            </w:r>
            <w:r w:rsidRPr="00B916EC">
              <w:t xml:space="preserve"> </w:t>
            </w:r>
            <w:proofErr w:type="spellStart"/>
            <w:r w:rsidRPr="00222F6E">
              <w:rPr>
                <w:i/>
              </w:rPr>
              <w:t>tpc</w:t>
            </w:r>
            <w:proofErr w:type="spellEnd"/>
            <w:r w:rsidRPr="00222F6E">
              <w:rPr>
                <w:i/>
              </w:rPr>
              <w:t>-Accumulation</w:t>
            </w:r>
            <w:r w:rsidRPr="00B916EC">
              <w:rPr>
                <w:lang w:val="en-US"/>
              </w:rPr>
              <w:t>,</w:t>
            </w:r>
            <w:r w:rsidRPr="00B916EC">
              <w:rPr>
                <w:rFonts w:hint="eastAsia"/>
              </w:rPr>
              <w:t xml:space="preserve"> </w:t>
            </w:r>
            <w:r w:rsidRPr="00B916EC">
              <w:rPr>
                <w:lang w:val="en-US"/>
              </w:rPr>
              <w:t>where</w:t>
            </w:r>
            <w:r>
              <w:rPr>
                <w:lang w:val="en-US"/>
              </w:rPr>
              <w:t xml:space="preserve"> </w:t>
            </w:r>
          </w:p>
          <w:p w14:paraId="7677AE1D" w14:textId="7C7E29D5" w:rsidR="009D66B6" w:rsidRDefault="009D66B6" w:rsidP="0052360C">
            <w:pPr>
              <w:ind w:left="1135" w:hanging="284"/>
            </w:pPr>
            <w:r w:rsidRPr="009D66B6">
              <w:rPr>
                <w:highlight w:val="yellow"/>
              </w:rPr>
              <w:t>[…]</w:t>
            </w:r>
          </w:p>
          <w:p w14:paraId="69428444" w14:textId="38ECFB76" w:rsidR="0052360C" w:rsidRPr="0052360C" w:rsidRDefault="0052360C" w:rsidP="0052360C">
            <w:pPr>
              <w:ind w:left="1135" w:hanging="284"/>
              <w:rPr>
                <w:lang w:val="en-US"/>
              </w:rPr>
            </w:pPr>
            <w:r w:rsidRPr="0016146D">
              <w:t>-</w:t>
            </w:r>
            <w:r w:rsidRPr="0016146D">
              <w:tab/>
              <w:t xml:space="preserve">If a PUSCH transmission is scheduled by a DCI format,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(i)</m:t>
              </m:r>
            </m:oMath>
            <w:r w:rsidRPr="0052360C">
              <w:rPr>
                <w:highlight w:val="yellow"/>
              </w:rPr>
              <w:t xml:space="preserve"> is </w:t>
            </w:r>
            <w:proofErr w:type="gramStart"/>
            <w:r w:rsidRPr="0052360C">
              <w:rPr>
                <w:highlight w:val="yellow"/>
              </w:rPr>
              <w:t>a number of</w:t>
            </w:r>
            <w:proofErr w:type="gramEnd"/>
            <w:r w:rsidRPr="0052360C">
              <w:rPr>
                <w:highlight w:val="yellow"/>
              </w:rPr>
              <w:t xml:space="preserve"> symbols for active </w:t>
            </w:r>
            <w:r w:rsidRPr="0052360C">
              <w:rPr>
                <w:highlight w:val="yellow"/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  <w:highlight w:val="yellow"/>
                </w:rPr>
                <m:t>b</m:t>
              </m:r>
            </m:oMath>
            <w:r w:rsidRPr="0052360C">
              <w:rPr>
                <w:iCs/>
                <w:highlight w:val="yellow"/>
                <w:lang w:val="en-US"/>
              </w:rPr>
              <w:t xml:space="preserve"> </w:t>
            </w:r>
            <w:r w:rsidRPr="0052360C">
              <w:rPr>
                <w:highlight w:val="yellow"/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f</m:t>
              </m:r>
            </m:oMath>
            <w:r w:rsidRPr="0052360C">
              <w:rPr>
                <w:iCs/>
                <w:highlight w:val="yellow"/>
                <w:lang w:val="en-US"/>
              </w:rPr>
              <w:t xml:space="preserve"> of</w:t>
            </w:r>
            <w:r w:rsidRPr="0052360C">
              <w:rPr>
                <w:highlight w:val="yellow"/>
              </w:rPr>
              <w:t xml:space="preserve"> serving cell </w:t>
            </w:r>
            <m:oMath>
              <m:r>
                <w:rPr>
                  <w:rFonts w:ascii="Cambria Math" w:hAnsi="Cambria Math"/>
                  <w:highlight w:val="yellow"/>
                </w:rPr>
                <m:t>c</m:t>
              </m:r>
            </m:oMath>
            <w:r w:rsidRPr="0052360C">
              <w:rPr>
                <w:highlight w:val="yellow"/>
              </w:rPr>
              <w:t xml:space="preserve"> after a last symbol of a corresponding PDCCH reception and before a first symbol of the PUSCH transmission</w:t>
            </w:r>
            <w:r w:rsidRPr="0016146D">
              <w:t xml:space="preserve"> </w:t>
            </w:r>
          </w:p>
        </w:tc>
      </w:tr>
    </w:tbl>
    <w:p w14:paraId="0E42B953" w14:textId="709292C8" w:rsidR="0052360C" w:rsidRDefault="0052360C" w:rsidP="00EA7E2D"/>
    <w:p w14:paraId="4215E6B0" w14:textId="5AB63C1E" w:rsidR="0052360C" w:rsidRDefault="0052360C" w:rsidP="00EA7E2D">
      <w:r>
        <w:t xml:space="preserve">The contentious question was how to </w:t>
      </w:r>
      <w:r w:rsidRPr="009D66B6">
        <w:t xml:space="preserve">understand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</w:rPr>
              <m:t>PUSCH</m:t>
            </m:r>
          </m:sub>
        </m:sSub>
        <m:r>
          <w:rPr>
            <w:rFonts w:ascii="Cambria Math" w:hAnsi="Cambria Math"/>
          </w:rPr>
          <m:t>(i)</m:t>
        </m:r>
      </m:oMath>
      <w:r w:rsidR="009D66B6" w:rsidRPr="009D66B6">
        <w:t xml:space="preserve"> </w:t>
      </w:r>
      <w:r w:rsidRPr="009D66B6">
        <w:t xml:space="preserve">in the </w:t>
      </w:r>
      <w:r w:rsidR="009D66B6">
        <w:t xml:space="preserve">last sub-bullet of the quote above in </w:t>
      </w:r>
      <w:r w:rsidRPr="009D66B6">
        <w:t>context</w:t>
      </w:r>
      <w:r>
        <w:t xml:space="preserve"> of PUSCH repetition [2].</w:t>
      </w:r>
    </w:p>
    <w:p w14:paraId="60E2A57F" w14:textId="72020A92" w:rsidR="0052360C" w:rsidRDefault="0052360C" w:rsidP="0052360C">
      <w:pPr>
        <w:ind w:left="284"/>
        <w:rPr>
          <w:rFonts w:eastAsia="MS Mincho"/>
          <w:bCs/>
          <w:lang w:eastAsia="ja-JP"/>
        </w:rPr>
      </w:pPr>
      <w:r>
        <w:rPr>
          <w:rFonts w:eastAsia="MS Mincho"/>
          <w:b/>
          <w:bCs/>
          <w:u w:val="single"/>
          <w:lang w:eastAsia="ja-JP"/>
        </w:rPr>
        <w:t>Interpretation 1:</w:t>
      </w:r>
      <w:r>
        <w:rPr>
          <w:rFonts w:eastAsia="MS Mincho"/>
          <w:bCs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rFonts w:eastAsia="MS Mincho"/>
          <w:bCs/>
          <w:lang w:eastAsia="ja-JP"/>
        </w:rPr>
        <w:t xml:space="preserve"> is defined as the number of OFDM symbols after a last symbol of a corresponding PDCCH reception and before a first symbol of </w:t>
      </w:r>
      <w:r w:rsidRPr="009D66B6">
        <w:rPr>
          <w:rFonts w:eastAsia="MS Mincho"/>
          <w:b/>
          <w:bCs/>
          <w:highlight w:val="yellow"/>
          <w:lang w:eastAsia="ja-JP"/>
        </w:rPr>
        <w:t xml:space="preserve">the PUSCH transmission </w:t>
      </w:r>
      <w:r w:rsidRPr="009D66B6">
        <w:rPr>
          <w:rFonts w:eastAsia="MS Mincho"/>
          <w:b/>
          <w:bCs/>
          <w:color w:val="FF0000"/>
          <w:highlight w:val="yellow"/>
          <w:u w:val="single"/>
          <w:lang w:eastAsia="ja-JP"/>
        </w:rPr>
        <w:t xml:space="preserve">occasion </w:t>
      </w:r>
      <w:r w:rsidRPr="009D66B6">
        <w:rPr>
          <w:rFonts w:eastAsia="MS Mincho"/>
          <w:b/>
          <w:bCs/>
          <w:i/>
          <w:color w:val="FF0000"/>
          <w:highlight w:val="yellow"/>
          <w:u w:val="single"/>
          <w:lang w:eastAsia="ja-JP"/>
        </w:rPr>
        <w:t>i</w:t>
      </w:r>
      <w:r w:rsidRPr="009D66B6">
        <w:rPr>
          <w:rFonts w:eastAsia="MS Mincho"/>
          <w:bCs/>
          <w:highlight w:val="yellow"/>
          <w:u w:val="single"/>
          <w:lang w:eastAsia="ja-JP"/>
        </w:rPr>
        <w:t>.</w:t>
      </w:r>
    </w:p>
    <w:p w14:paraId="535C809E" w14:textId="43C4F880" w:rsidR="0052360C" w:rsidRPr="0052360C" w:rsidRDefault="0052360C" w:rsidP="0052360C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52360C">
        <w:rPr>
          <w:rFonts w:eastAsia="MS Mincho"/>
          <w:bCs/>
          <w:sz w:val="20"/>
          <w:szCs w:val="20"/>
          <w:lang w:eastAsia="ja-JP"/>
        </w:rPr>
        <w:lastRenderedPageBreak/>
        <w:t xml:space="preserve">With this interpretation, value of </w:t>
      </w:r>
      <m:oMath>
        <m:sSub>
          <m:sSubPr>
            <m:ctrlPr>
              <w:rPr>
                <w:rFonts w:ascii="Cambria Math" w:hAnsi="Cambria Math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PUSCH</m:t>
            </m:r>
          </m:sub>
        </m:sSub>
        <m:r>
          <w:rPr>
            <w:rFonts w:ascii="Cambria Math" w:hAnsi="Cambria Math"/>
            <w:sz w:val="20"/>
            <w:szCs w:val="20"/>
          </w:rPr>
          <m:t>(i)</m:t>
        </m:r>
      </m:oMath>
      <w:r w:rsidRPr="0052360C">
        <w:rPr>
          <w:rFonts w:eastAsia="MS Mincho"/>
          <w:bCs/>
          <w:sz w:val="20"/>
          <w:szCs w:val="20"/>
          <w:lang w:eastAsia="ja-JP"/>
        </w:rPr>
        <w:t xml:space="preserve"> for a PUSCH transmission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occasion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can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be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different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for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each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PUCCH transmission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occasion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among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the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transmission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occasions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that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constitute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a PUSCH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aggregate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trasnmitting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several</w:t>
      </w:r>
      <w:proofErr w:type="spellEnd"/>
      <w:r w:rsidR="005252F9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r</w:t>
      </w:r>
      <w:r w:rsidRPr="0052360C">
        <w:rPr>
          <w:rFonts w:eastAsia="MS Mincho"/>
          <w:bCs/>
          <w:sz w:val="20"/>
          <w:szCs w:val="20"/>
          <w:lang w:eastAsia="ja-JP"/>
        </w:rPr>
        <w:t>epetitions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</w:t>
      </w:r>
      <w:r w:rsidR="005252F9">
        <w:rPr>
          <w:rFonts w:eastAsia="MS Mincho"/>
          <w:bCs/>
          <w:sz w:val="20"/>
          <w:szCs w:val="20"/>
          <w:lang w:eastAsia="ja-JP"/>
        </w:rPr>
        <w:t xml:space="preserve">of </w:t>
      </w:r>
      <w:proofErr w:type="spellStart"/>
      <w:r w:rsidR="005252F9">
        <w:rPr>
          <w:rFonts w:eastAsia="MS Mincho"/>
          <w:bCs/>
          <w:sz w:val="20"/>
          <w:szCs w:val="20"/>
          <w:lang w:eastAsia="ja-JP"/>
        </w:rPr>
        <w:t>one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TB.</w:t>
      </w:r>
    </w:p>
    <w:p w14:paraId="644B27F0" w14:textId="77777777" w:rsidR="0052360C" w:rsidRPr="00A6713F" w:rsidRDefault="0052360C" w:rsidP="0052360C">
      <w:pPr>
        <w:pStyle w:val="ListParagraph"/>
        <w:ind w:left="1004"/>
      </w:pPr>
    </w:p>
    <w:p w14:paraId="5D0B29F6" w14:textId="085EADBE" w:rsidR="00CF7905" w:rsidRDefault="0052360C" w:rsidP="0052360C">
      <w:pPr>
        <w:ind w:left="284"/>
        <w:rPr>
          <w:rFonts w:eastAsia="MS Mincho"/>
          <w:bCs/>
          <w:lang w:eastAsia="ja-JP"/>
        </w:rPr>
      </w:pPr>
      <w:r>
        <w:rPr>
          <w:rFonts w:eastAsia="MS Mincho"/>
          <w:b/>
          <w:bCs/>
          <w:u w:val="single"/>
          <w:lang w:eastAsia="ja-JP"/>
        </w:rPr>
        <w:t>Interpretation 2:</w:t>
      </w:r>
      <w:r>
        <w:rPr>
          <w:rFonts w:eastAsia="MS Mincho"/>
          <w:bCs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rFonts w:eastAsia="MS Mincho"/>
          <w:bCs/>
          <w:lang w:eastAsia="ja-JP"/>
        </w:rPr>
        <w:t xml:space="preserve"> is defined as the number of OFDM symbols after a last symbol of a corresponding PDCCH reception and before a first symbol of </w:t>
      </w:r>
      <w:r w:rsidRPr="009D66B6">
        <w:rPr>
          <w:rFonts w:eastAsia="MS Mincho"/>
          <w:b/>
          <w:bCs/>
          <w:highlight w:val="yellow"/>
          <w:lang w:eastAsia="ja-JP"/>
        </w:rPr>
        <w:t>the</w:t>
      </w:r>
      <w:r w:rsidRPr="009D66B6">
        <w:rPr>
          <w:b/>
          <w:bCs/>
          <w:color w:val="FF0000"/>
          <w:highlight w:val="yellow"/>
        </w:rPr>
        <w:t xml:space="preserve"> </w:t>
      </w:r>
      <w:r w:rsidRPr="009D66B6">
        <w:rPr>
          <w:rFonts w:eastAsia="MS Mincho"/>
          <w:b/>
          <w:bCs/>
          <w:color w:val="FF0000"/>
          <w:highlight w:val="yellow"/>
          <w:u w:val="single"/>
          <w:lang w:eastAsia="ja-JP"/>
        </w:rPr>
        <w:t>first</w:t>
      </w:r>
      <w:r w:rsidRPr="009D66B6">
        <w:rPr>
          <w:rFonts w:eastAsia="MS Mincho"/>
          <w:b/>
          <w:bCs/>
          <w:color w:val="FF0000"/>
          <w:highlight w:val="yellow"/>
          <w:lang w:eastAsia="ja-JP"/>
        </w:rPr>
        <w:t xml:space="preserve"> </w:t>
      </w:r>
      <w:r w:rsidRPr="009D66B6">
        <w:rPr>
          <w:rFonts w:eastAsia="MS Mincho"/>
          <w:b/>
          <w:bCs/>
          <w:highlight w:val="yellow"/>
          <w:lang w:eastAsia="ja-JP"/>
        </w:rPr>
        <w:t>PUSCH</w:t>
      </w:r>
      <w:r w:rsidRPr="009D66B6">
        <w:rPr>
          <w:rFonts w:eastAsia="MS Mincho"/>
          <w:b/>
          <w:bCs/>
          <w:color w:val="FF0000"/>
          <w:highlight w:val="yellow"/>
          <w:lang w:eastAsia="ja-JP"/>
        </w:rPr>
        <w:t xml:space="preserve"> </w:t>
      </w:r>
      <w:r w:rsidR="009D66B6" w:rsidRPr="009D66B6">
        <w:rPr>
          <w:rFonts w:eastAsia="MS Mincho"/>
          <w:b/>
          <w:bCs/>
          <w:strike/>
          <w:color w:val="FF0000"/>
          <w:highlight w:val="yellow"/>
          <w:lang w:eastAsia="ja-JP"/>
        </w:rPr>
        <w:t>transmission</w:t>
      </w:r>
      <w:r w:rsidR="009D66B6" w:rsidRPr="009D66B6">
        <w:rPr>
          <w:rFonts w:eastAsia="MS Mincho"/>
          <w:b/>
          <w:bCs/>
          <w:color w:val="FF0000"/>
          <w:highlight w:val="yellow"/>
          <w:lang w:eastAsia="ja-JP"/>
        </w:rPr>
        <w:t xml:space="preserve"> </w:t>
      </w:r>
      <w:r w:rsidRPr="009D66B6">
        <w:rPr>
          <w:rFonts w:eastAsia="MS Mincho"/>
          <w:b/>
          <w:bCs/>
          <w:color w:val="FF0000"/>
          <w:highlight w:val="yellow"/>
          <w:u w:val="single"/>
          <w:lang w:eastAsia="ja-JP"/>
        </w:rPr>
        <w:t>repetition for a TB</w:t>
      </w:r>
      <w:r>
        <w:rPr>
          <w:rFonts w:eastAsia="MS Mincho"/>
          <w:bCs/>
          <w:lang w:eastAsia="ja-JP"/>
        </w:rPr>
        <w:t>.</w:t>
      </w:r>
    </w:p>
    <w:p w14:paraId="4744C51A" w14:textId="54D99AC9" w:rsidR="0052360C" w:rsidRPr="00DE2A81" w:rsidRDefault="0052360C" w:rsidP="0052360C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With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this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interpretation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,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value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of </w:t>
      </w:r>
      <m:oMath>
        <m:sSub>
          <m:sSubPr>
            <m:ctrlPr>
              <w:rPr>
                <w:rFonts w:ascii="Cambria Math" w:hAnsi="Cambria Math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PUSCH</m:t>
            </m:r>
          </m:sub>
        </m:sSub>
        <m:r>
          <w:rPr>
            <w:rFonts w:ascii="Cambria Math" w:hAnsi="Cambria Math"/>
            <w:sz w:val="20"/>
            <w:szCs w:val="20"/>
          </w:rPr>
          <m:t>(i)</m:t>
        </m:r>
      </m:oMath>
      <w:r w:rsidRPr="0052360C">
        <w:rPr>
          <w:rFonts w:eastAsia="MS Mincho"/>
          <w:bCs/>
          <w:sz w:val="20"/>
          <w:szCs w:val="20"/>
          <w:lang w:eastAsia="ja-JP"/>
        </w:rPr>
        <w:t xml:space="preserve"> for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all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PUSCH transmission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occasions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are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the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same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for </w:t>
      </w:r>
      <w:proofErr w:type="spellStart"/>
      <w:r w:rsidRPr="0052360C">
        <w:rPr>
          <w:rFonts w:eastAsia="MS Mincho"/>
          <w:bCs/>
          <w:sz w:val="20"/>
          <w:szCs w:val="20"/>
          <w:lang w:eastAsia="ja-JP"/>
        </w:rPr>
        <w:t>the</w:t>
      </w:r>
      <w:proofErr w:type="spellEnd"/>
      <w:r w:rsidRPr="0052360C">
        <w:rPr>
          <w:rFonts w:eastAsia="MS Mincho"/>
          <w:bCs/>
          <w:sz w:val="20"/>
          <w:szCs w:val="20"/>
          <w:lang w:eastAsia="ja-JP"/>
        </w:rPr>
        <w:t xml:space="preserve"> TB.</w:t>
      </w:r>
    </w:p>
    <w:p w14:paraId="3B13FE44" w14:textId="1DAB68DF" w:rsidR="00DE2A81" w:rsidRDefault="00DE2A81" w:rsidP="00DE2A81">
      <w:pPr>
        <w:rPr>
          <w:b/>
          <w:bCs/>
        </w:rPr>
      </w:pPr>
    </w:p>
    <w:p w14:paraId="53E2EBA8" w14:textId="05B7704C" w:rsidR="00DE2A81" w:rsidRPr="009D66B6" w:rsidRDefault="00DE2A81" w:rsidP="00DE2A81">
      <w:r>
        <w:t>The main difference between the two interpretations is that the 1</w:t>
      </w:r>
      <w:r w:rsidRPr="00DE2A81">
        <w:rPr>
          <w:vertAlign w:val="superscript"/>
        </w:rPr>
        <w:t>st</w:t>
      </w:r>
      <w:r>
        <w:t xml:space="preserve"> interpretation freezes the power control to the same setting for all repeated instances of one TB (one slot aggregate), while the 2</w:t>
      </w:r>
      <w:r w:rsidRPr="00DE2A81">
        <w:rPr>
          <w:vertAlign w:val="superscript"/>
        </w:rPr>
        <w:t>nd</w:t>
      </w:r>
      <w:r>
        <w:t xml:space="preserve"> interpretation includes subsequent TPC commands during the transmission of the slot aggregate, if received</w:t>
      </w:r>
      <w:r w:rsidR="009D66B6">
        <w:t xml:space="preserve"> in time to be able to be accounted for</w:t>
      </w:r>
      <w:r>
        <w:t>.</w:t>
      </w:r>
      <w:r w:rsidR="009D66B6">
        <w:t xml:space="preserve"> However, when reading the hierarchy, it should be clear that all the steps correspond to the transmission occasion </w:t>
      </w:r>
      <w:r w:rsidR="009D66B6">
        <w:rPr>
          <w:i/>
          <w:iCs/>
        </w:rPr>
        <w:t>i</w:t>
      </w:r>
      <w:r w:rsidR="009D66B6">
        <w:t>.</w:t>
      </w:r>
    </w:p>
    <w:p w14:paraId="7150E437" w14:textId="0882E24B" w:rsidR="00DE2A81" w:rsidRDefault="00DE2A81" w:rsidP="00DE2A81">
      <w:r>
        <w:rPr>
          <w:b/>
          <w:bCs/>
        </w:rPr>
        <w:t xml:space="preserve">Proposal 1: </w:t>
      </w:r>
      <w:r>
        <w:t xml:space="preserve">Adopt interpretation 1: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rFonts w:eastAsia="MS Mincho"/>
          <w:bCs/>
          <w:lang w:eastAsia="ja-JP"/>
        </w:rPr>
        <w:t xml:space="preserve"> </w:t>
      </w:r>
      <w:r w:rsidRPr="00DE2A81">
        <w:t xml:space="preserve">is defined as the number of OFDM symbols after a last symbol of a corresponding PDCCH reception and before a first symbol of the PUSCH transmission </w:t>
      </w:r>
      <w:r w:rsidRPr="00DE2A81">
        <w:rPr>
          <w:color w:val="FF0000"/>
          <w:u w:val="single"/>
        </w:rPr>
        <w:t xml:space="preserve">occasion </w:t>
      </w:r>
      <w:r w:rsidRPr="00DE2A81">
        <w:rPr>
          <w:i/>
          <w:iCs/>
          <w:color w:val="FF0000"/>
          <w:u w:val="single"/>
        </w:rPr>
        <w:t>i</w:t>
      </w:r>
      <w:r w:rsidRPr="00DE2A81">
        <w:t>.</w:t>
      </w:r>
    </w:p>
    <w:p w14:paraId="20301750" w14:textId="752C0662" w:rsidR="008369B5" w:rsidRPr="008369B5" w:rsidRDefault="008369B5" w:rsidP="00DE2A81">
      <w:r w:rsidRPr="00FF1502">
        <w:rPr>
          <w:b/>
          <w:bCs/>
        </w:rPr>
        <w:t xml:space="preserve">Proposal 2: </w:t>
      </w:r>
      <w:r w:rsidRPr="00FF1502">
        <w:t>Agree to an accompanying CR from Rel-15 or Rel-16 onwards to the TS 38.213 in [3].</w:t>
      </w:r>
    </w:p>
    <w:bookmarkEnd w:id="1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7740CB6" w14:textId="05C4A5BD" w:rsidR="003022EA" w:rsidRPr="00F578F9" w:rsidRDefault="00F9164D" w:rsidP="00F578F9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2" w:name="_Hlk94275529"/>
      <w:r>
        <w:rPr>
          <w:sz w:val="20"/>
          <w:szCs w:val="20"/>
        </w:rPr>
        <w:t>3GPP TS 38.213</w:t>
      </w:r>
      <w:r>
        <w:rPr>
          <w:sz w:val="20"/>
          <w:szCs w:val="20"/>
        </w:rPr>
        <w:tab/>
      </w:r>
      <w:proofErr w:type="spellStart"/>
      <w:r w:rsidRPr="004A13C8">
        <w:rPr>
          <w:sz w:val="20"/>
          <w:szCs w:val="20"/>
        </w:rPr>
        <w:t>Physical</w:t>
      </w:r>
      <w:proofErr w:type="spellEnd"/>
      <w:r w:rsidRPr="004A13C8">
        <w:rPr>
          <w:sz w:val="20"/>
          <w:szCs w:val="20"/>
        </w:rPr>
        <w:t xml:space="preserve"> </w:t>
      </w:r>
      <w:proofErr w:type="spellStart"/>
      <w:r w:rsidRPr="004A13C8">
        <w:rPr>
          <w:sz w:val="20"/>
          <w:szCs w:val="20"/>
        </w:rPr>
        <w:t>layer</w:t>
      </w:r>
      <w:proofErr w:type="spellEnd"/>
      <w:r w:rsidRPr="004A13C8">
        <w:rPr>
          <w:sz w:val="20"/>
          <w:szCs w:val="20"/>
        </w:rPr>
        <w:t xml:space="preserve"> </w:t>
      </w:r>
      <w:proofErr w:type="spellStart"/>
      <w:r w:rsidRPr="004A13C8">
        <w:rPr>
          <w:sz w:val="20"/>
          <w:szCs w:val="20"/>
        </w:rPr>
        <w:t>procedures</w:t>
      </w:r>
      <w:proofErr w:type="spellEnd"/>
      <w:r w:rsidRPr="004A13C8">
        <w:rPr>
          <w:sz w:val="20"/>
          <w:szCs w:val="20"/>
        </w:rPr>
        <w:t xml:space="preserve"> for </w:t>
      </w:r>
      <w:proofErr w:type="spellStart"/>
      <w:r w:rsidRPr="004A13C8">
        <w:rPr>
          <w:sz w:val="20"/>
          <w:szCs w:val="20"/>
        </w:rPr>
        <w:t>control</w:t>
      </w:r>
      <w:proofErr w:type="spellEnd"/>
      <w:r>
        <w:rPr>
          <w:sz w:val="20"/>
          <w:szCs w:val="20"/>
        </w:rPr>
        <w:t>, V15.</w:t>
      </w:r>
      <w:r w:rsidR="00F578F9">
        <w:rPr>
          <w:sz w:val="20"/>
          <w:szCs w:val="20"/>
        </w:rPr>
        <w:t>1</w:t>
      </w:r>
      <w:r>
        <w:rPr>
          <w:sz w:val="20"/>
          <w:szCs w:val="20"/>
        </w:rPr>
        <w:t>4.0</w:t>
      </w:r>
      <w:bookmarkEnd w:id="2"/>
    </w:p>
    <w:p w14:paraId="5D89ACEB" w14:textId="2EF37E36" w:rsidR="00F578F9" w:rsidRPr="00FF1502" w:rsidRDefault="00F578F9" w:rsidP="003022EA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F578F9">
        <w:rPr>
          <w:sz w:val="20"/>
          <w:szCs w:val="20"/>
        </w:rPr>
        <w:t>R1-2200790</w:t>
      </w:r>
      <w:r w:rsidRPr="00F578F9">
        <w:rPr>
          <w:sz w:val="20"/>
          <w:szCs w:val="20"/>
        </w:rPr>
        <w:tab/>
        <w:t xml:space="preserve">[107bis-e-NR-R17-CovEnh-03] </w:t>
      </w:r>
      <w:proofErr w:type="spellStart"/>
      <w:r w:rsidRPr="00F578F9">
        <w:rPr>
          <w:sz w:val="20"/>
          <w:szCs w:val="20"/>
        </w:rPr>
        <w:t>Summary</w:t>
      </w:r>
      <w:proofErr w:type="spellEnd"/>
      <w:r w:rsidRPr="00F578F9">
        <w:rPr>
          <w:sz w:val="20"/>
          <w:szCs w:val="20"/>
        </w:rPr>
        <w:t xml:space="preserve"> of </w:t>
      </w:r>
      <w:proofErr w:type="spellStart"/>
      <w:r w:rsidRPr="00F578F9">
        <w:rPr>
          <w:sz w:val="20"/>
          <w:szCs w:val="20"/>
        </w:rPr>
        <w:t>email</w:t>
      </w:r>
      <w:proofErr w:type="spellEnd"/>
      <w:r w:rsidRPr="00F578F9">
        <w:rPr>
          <w:sz w:val="20"/>
          <w:szCs w:val="20"/>
        </w:rPr>
        <w:t xml:space="preserve"> </w:t>
      </w:r>
      <w:proofErr w:type="spellStart"/>
      <w:r w:rsidRPr="00F578F9">
        <w:rPr>
          <w:sz w:val="20"/>
          <w:szCs w:val="20"/>
        </w:rPr>
        <w:t>discussion</w:t>
      </w:r>
      <w:proofErr w:type="spellEnd"/>
      <w:r w:rsidRPr="00F578F9">
        <w:rPr>
          <w:sz w:val="20"/>
          <w:szCs w:val="20"/>
        </w:rPr>
        <w:t xml:space="preserve"> on </w:t>
      </w:r>
      <w:proofErr w:type="spellStart"/>
      <w:r w:rsidRPr="00F578F9">
        <w:rPr>
          <w:sz w:val="20"/>
          <w:szCs w:val="20"/>
        </w:rPr>
        <w:t>joint</w:t>
      </w:r>
      <w:proofErr w:type="spellEnd"/>
      <w:r w:rsidRPr="00F578F9">
        <w:rPr>
          <w:sz w:val="20"/>
          <w:szCs w:val="20"/>
        </w:rPr>
        <w:t xml:space="preserve"> </w:t>
      </w:r>
      <w:proofErr w:type="spellStart"/>
      <w:r w:rsidRPr="00F578F9">
        <w:rPr>
          <w:sz w:val="20"/>
          <w:szCs w:val="20"/>
        </w:rPr>
        <w:t>channel</w:t>
      </w:r>
      <w:proofErr w:type="spellEnd"/>
      <w:r w:rsidRPr="00F578F9">
        <w:rPr>
          <w:sz w:val="20"/>
          <w:szCs w:val="20"/>
        </w:rPr>
        <w:t xml:space="preserve"> </w:t>
      </w:r>
      <w:proofErr w:type="spellStart"/>
      <w:r w:rsidRPr="00F578F9">
        <w:rPr>
          <w:sz w:val="20"/>
          <w:szCs w:val="20"/>
        </w:rPr>
        <w:t>estimation</w:t>
      </w:r>
      <w:proofErr w:type="spellEnd"/>
      <w:r w:rsidRPr="00F578F9">
        <w:rPr>
          <w:sz w:val="20"/>
          <w:szCs w:val="20"/>
        </w:rPr>
        <w:t xml:space="preserve"> for </w:t>
      </w:r>
      <w:r w:rsidRPr="00FF1502">
        <w:rPr>
          <w:sz w:val="20"/>
          <w:szCs w:val="20"/>
        </w:rPr>
        <w:t xml:space="preserve">PUSCH, </w:t>
      </w:r>
      <w:proofErr w:type="spellStart"/>
      <w:r w:rsidRPr="00FF1502">
        <w:rPr>
          <w:sz w:val="20"/>
          <w:szCs w:val="20"/>
        </w:rPr>
        <w:t>moderator</w:t>
      </w:r>
      <w:proofErr w:type="spellEnd"/>
      <w:r w:rsidRPr="00FF1502">
        <w:rPr>
          <w:sz w:val="20"/>
          <w:szCs w:val="20"/>
        </w:rPr>
        <w:t xml:space="preserve"> (China Telecom)</w:t>
      </w:r>
    </w:p>
    <w:p w14:paraId="4E3DAC11" w14:textId="7B91D934" w:rsidR="008369B5" w:rsidRPr="00FF1502" w:rsidRDefault="008369B5" w:rsidP="003022EA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FF1502">
        <w:rPr>
          <w:sz w:val="20"/>
          <w:szCs w:val="20"/>
        </w:rPr>
        <w:t>R1-220</w:t>
      </w:r>
      <w:r w:rsidR="00FF1502" w:rsidRPr="00FF1502">
        <w:rPr>
          <w:sz w:val="20"/>
          <w:szCs w:val="20"/>
        </w:rPr>
        <w:t>1</w:t>
      </w:r>
      <w:r w:rsidR="00FF1502">
        <w:rPr>
          <w:sz w:val="20"/>
          <w:szCs w:val="20"/>
        </w:rPr>
        <w:t>0</w:t>
      </w:r>
      <w:r w:rsidR="00FF1502" w:rsidRPr="00FF1502">
        <w:rPr>
          <w:sz w:val="20"/>
          <w:szCs w:val="20"/>
        </w:rPr>
        <w:t>31</w:t>
      </w:r>
      <w:r w:rsidR="00FF1502">
        <w:rPr>
          <w:sz w:val="20"/>
          <w:szCs w:val="20"/>
        </w:rPr>
        <w:t xml:space="preserve"> 38.213</w:t>
      </w:r>
      <w:r w:rsidRPr="00FF1502">
        <w:rPr>
          <w:sz w:val="20"/>
          <w:szCs w:val="20"/>
        </w:rPr>
        <w:t>CR</w:t>
      </w:r>
      <w:r w:rsidR="00FF1502">
        <w:rPr>
          <w:sz w:val="20"/>
          <w:szCs w:val="20"/>
        </w:rPr>
        <w:t xml:space="preserve">draft (Rel15, F) </w:t>
      </w:r>
      <w:proofErr w:type="spellStart"/>
      <w:r w:rsidR="00FF1502" w:rsidRPr="00FF1502">
        <w:rPr>
          <w:sz w:val="20"/>
          <w:szCs w:val="20"/>
        </w:rPr>
        <w:t>Correction</w:t>
      </w:r>
      <w:proofErr w:type="spellEnd"/>
      <w:r w:rsidR="00FF1502" w:rsidRPr="00FF1502">
        <w:rPr>
          <w:sz w:val="20"/>
          <w:szCs w:val="20"/>
        </w:rPr>
        <w:t xml:space="preserve"> of K_PUSCH(i) in TPC </w:t>
      </w:r>
      <w:proofErr w:type="spellStart"/>
      <w:r w:rsidR="00FF1502" w:rsidRPr="00FF1502">
        <w:rPr>
          <w:sz w:val="20"/>
          <w:szCs w:val="20"/>
        </w:rPr>
        <w:t>accumulation</w:t>
      </w:r>
      <w:proofErr w:type="spellEnd"/>
      <w:r w:rsidR="00FF1502">
        <w:rPr>
          <w:sz w:val="20"/>
          <w:szCs w:val="20"/>
        </w:rPr>
        <w:t>, Nokia, Nokia Shanghai Bell</w:t>
      </w:r>
    </w:p>
    <w:sectPr w:rsidR="008369B5" w:rsidRPr="00FF150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37BAB" w14:textId="77777777" w:rsidR="0033716F" w:rsidRDefault="0033716F">
      <w:r>
        <w:separator/>
      </w:r>
    </w:p>
  </w:endnote>
  <w:endnote w:type="continuationSeparator" w:id="0">
    <w:p w14:paraId="07566099" w14:textId="77777777" w:rsidR="0033716F" w:rsidRDefault="0033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61841" w14:textId="77777777" w:rsidR="0033716F" w:rsidRDefault="0033716F">
      <w:r>
        <w:separator/>
      </w:r>
    </w:p>
  </w:footnote>
  <w:footnote w:type="continuationSeparator" w:id="0">
    <w:p w14:paraId="00D732A5" w14:textId="77777777" w:rsidR="0033716F" w:rsidRDefault="00337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36433"/>
    <w:multiLevelType w:val="hybridMultilevel"/>
    <w:tmpl w:val="6AA48A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2"/>
  </w:num>
  <w:num w:numId="5">
    <w:abstractNumId w:val="13"/>
  </w:num>
  <w:num w:numId="6">
    <w:abstractNumId w:val="25"/>
  </w:num>
  <w:num w:numId="7">
    <w:abstractNumId w:val="15"/>
  </w:num>
  <w:num w:numId="8">
    <w:abstractNumId w:val="12"/>
  </w:num>
  <w:num w:numId="9">
    <w:abstractNumId w:val="28"/>
  </w:num>
  <w:num w:numId="10">
    <w:abstractNumId w:val="4"/>
  </w:num>
  <w:num w:numId="11">
    <w:abstractNumId w:val="18"/>
  </w:num>
  <w:num w:numId="12">
    <w:abstractNumId w:val="3"/>
  </w:num>
  <w:num w:numId="13">
    <w:abstractNumId w:val="10"/>
  </w:num>
  <w:num w:numId="14">
    <w:abstractNumId w:val="22"/>
  </w:num>
  <w:num w:numId="15">
    <w:abstractNumId w:val="14"/>
  </w:num>
  <w:num w:numId="16">
    <w:abstractNumId w:val="1"/>
  </w:num>
  <w:num w:numId="17">
    <w:abstractNumId w:val="20"/>
  </w:num>
  <w:num w:numId="18">
    <w:abstractNumId w:val="11"/>
  </w:num>
  <w:num w:numId="19">
    <w:abstractNumId w:val="17"/>
  </w:num>
  <w:num w:numId="20">
    <w:abstractNumId w:val="27"/>
  </w:num>
  <w:num w:numId="21">
    <w:abstractNumId w:val="29"/>
  </w:num>
  <w:num w:numId="22">
    <w:abstractNumId w:val="19"/>
  </w:num>
  <w:num w:numId="23">
    <w:abstractNumId w:val="9"/>
  </w:num>
  <w:num w:numId="24">
    <w:abstractNumId w:val="5"/>
  </w:num>
  <w:num w:numId="25">
    <w:abstractNumId w:val="26"/>
  </w:num>
  <w:num w:numId="26">
    <w:abstractNumId w:val="23"/>
  </w:num>
  <w:num w:numId="27">
    <w:abstractNumId w:val="8"/>
  </w:num>
  <w:num w:numId="28">
    <w:abstractNumId w:val="7"/>
  </w:num>
  <w:num w:numId="29">
    <w:abstractNumId w:val="21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32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2EA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16F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C5A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9FC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60C"/>
    <w:rsid w:val="00523E75"/>
    <w:rsid w:val="005243E0"/>
    <w:rsid w:val="005252F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8C0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9B5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82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5784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66B6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2F71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7F5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EF9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905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2A81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E2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78F9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64D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502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6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EA7E2D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D66B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9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5AIRPNAIUNRU-1830940522-13931</_dlc_DocId>
    <_dlc_DocIdUrl xmlns="71c5aaf6-e6ce-465b-b873-5148d2a4c105">
      <Url>https://nokia.sharepoint.com/sites/c5g/5gradio/_layouts/15/DocIdRedir.aspx?ID=5AIRPNAIUNRU-1830940522-13931</Url>
      <Description>5AIRPNAIUNRU-1830940522-13931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148</TotalTime>
  <Pages>2</Pages>
  <Words>563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15</cp:revision>
  <cp:lastPrinted>2016-06-20T11:35:00Z</cp:lastPrinted>
  <dcterms:created xsi:type="dcterms:W3CDTF">2021-10-26T07:52:00Z</dcterms:created>
  <dcterms:modified xsi:type="dcterms:W3CDTF">2022-02-14T15:36:00Z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4f4ecb34-9efd-4cab-a25e-a44e85182c6a</vt:lpwstr>
  </property>
</Properties>
</file>